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51B" w:rsidRPr="00685C77" w:rsidRDefault="00CB351B" w:rsidP="00984EE8"/>
    <w:p w:rsidR="00226B70" w:rsidRDefault="00226B70" w:rsidP="00984EE8">
      <w:pPr>
        <w:jc w:val="both"/>
        <w:rPr>
          <w:rFonts w:eastAsia="Times New Roman" w:cs="Times New Roman"/>
        </w:rPr>
      </w:pPr>
    </w:p>
    <w:p w:rsidR="00984EE8" w:rsidRPr="00685C77" w:rsidRDefault="00984EE8" w:rsidP="00984EE8">
      <w:pPr>
        <w:jc w:val="both"/>
        <w:rPr>
          <w:rFonts w:eastAsia="Times New Roman" w:cs="Times New Roman"/>
        </w:rPr>
      </w:pPr>
      <w:r w:rsidRPr="00685C77">
        <w:rPr>
          <w:rFonts w:eastAsia="Times New Roman" w:cs="Times New Roman"/>
        </w:rPr>
        <w:t xml:space="preserve">Bogotá, D.C., </w:t>
      </w:r>
      <w:r w:rsidR="00226B70">
        <w:rPr>
          <w:rFonts w:eastAsia="Times New Roman" w:cs="Times New Roman"/>
        </w:rPr>
        <w:t>8 de mayo</w:t>
      </w:r>
      <w:r w:rsidRPr="00685C77">
        <w:rPr>
          <w:rFonts w:eastAsia="Times New Roman" w:cs="Times New Roman"/>
        </w:rPr>
        <w:t xml:space="preserve"> de 202</w:t>
      </w:r>
      <w:r w:rsidR="00DD329C">
        <w:rPr>
          <w:rFonts w:eastAsia="Times New Roman" w:cs="Times New Roman"/>
        </w:rPr>
        <w:t>5</w:t>
      </w:r>
    </w:p>
    <w:p w:rsidR="00984EE8" w:rsidRDefault="00984EE8" w:rsidP="00984EE8">
      <w:pPr>
        <w:spacing w:line="240" w:lineRule="auto"/>
        <w:contextualSpacing/>
        <w:jc w:val="both"/>
        <w:rPr>
          <w:rFonts w:cs="Times New Roman"/>
          <w:b/>
          <w:bCs/>
        </w:rPr>
      </w:pPr>
    </w:p>
    <w:p w:rsidR="00226B70" w:rsidRPr="00685C77" w:rsidRDefault="00226B70" w:rsidP="00984EE8">
      <w:pPr>
        <w:spacing w:line="240" w:lineRule="auto"/>
        <w:contextualSpacing/>
        <w:jc w:val="both"/>
        <w:rPr>
          <w:rFonts w:cs="Times New Roman"/>
          <w:b/>
          <w:bCs/>
        </w:rPr>
      </w:pPr>
    </w:p>
    <w:p w:rsidR="00984EE8" w:rsidRPr="00685C77" w:rsidRDefault="00984EE8" w:rsidP="00984EE8">
      <w:pPr>
        <w:spacing w:line="240" w:lineRule="auto"/>
        <w:contextualSpacing/>
        <w:jc w:val="both"/>
        <w:rPr>
          <w:rFonts w:cs="Times New Roman"/>
          <w:b/>
          <w:bCs/>
        </w:rPr>
      </w:pPr>
      <w:r w:rsidRPr="00685C77">
        <w:rPr>
          <w:rFonts w:cs="Times New Roman"/>
          <w:b/>
          <w:bCs/>
        </w:rPr>
        <w:t xml:space="preserve">PARA: </w:t>
      </w:r>
      <w:r w:rsidR="00226B70">
        <w:rPr>
          <w:rFonts w:cs="Times New Roman"/>
          <w:b/>
          <w:bCs/>
        </w:rPr>
        <w:t>SUBGERENCIA SERVICIOS DE SALUD</w:t>
      </w:r>
    </w:p>
    <w:p w:rsidR="00984EE8" w:rsidRPr="00685C77" w:rsidRDefault="00984EE8" w:rsidP="00984EE8">
      <w:pPr>
        <w:spacing w:line="240" w:lineRule="auto"/>
        <w:ind w:left="708" w:firstLine="708"/>
        <w:contextualSpacing/>
        <w:jc w:val="both"/>
        <w:rPr>
          <w:rFonts w:cs="Times New Roman"/>
          <w:b/>
          <w:bCs/>
        </w:rPr>
      </w:pPr>
    </w:p>
    <w:p w:rsidR="00984EE8" w:rsidRPr="00685C77" w:rsidRDefault="00984EE8" w:rsidP="00984EE8">
      <w:pPr>
        <w:spacing w:line="240" w:lineRule="auto"/>
        <w:contextualSpacing/>
        <w:jc w:val="both"/>
        <w:rPr>
          <w:rFonts w:cs="Times New Roman"/>
          <w:b/>
          <w:bCs/>
        </w:rPr>
      </w:pPr>
      <w:r w:rsidRPr="00685C77">
        <w:rPr>
          <w:rFonts w:cs="Times New Roman"/>
          <w:b/>
          <w:bCs/>
        </w:rPr>
        <w:t xml:space="preserve">TEMA: GESTION DE PETICION, </w:t>
      </w:r>
      <w:r w:rsidR="00F7023A" w:rsidRPr="00685C77">
        <w:rPr>
          <w:rFonts w:cs="Times New Roman"/>
          <w:b/>
        </w:rPr>
        <w:t>SISSCO-202</w:t>
      </w:r>
      <w:r w:rsidR="00DD329C">
        <w:rPr>
          <w:rFonts w:cs="Times New Roman"/>
          <w:b/>
        </w:rPr>
        <w:t>5</w:t>
      </w:r>
      <w:r w:rsidR="00F7023A" w:rsidRPr="00685C77">
        <w:rPr>
          <w:rFonts w:cs="Times New Roman"/>
          <w:b/>
        </w:rPr>
        <w:t>-</w:t>
      </w:r>
      <w:r w:rsidR="00226B70">
        <w:rPr>
          <w:rFonts w:cs="Times New Roman"/>
          <w:b/>
        </w:rPr>
        <w:t>CE-011088, PROPOSICION 591 CONCEJO DE BOGOTA</w:t>
      </w:r>
      <w:r w:rsidRPr="00685C77">
        <w:rPr>
          <w:rFonts w:eastAsia="Times New Roman" w:cs="Times New Roman"/>
          <w:b/>
          <w:bCs/>
        </w:rPr>
        <w:t>.</w:t>
      </w:r>
    </w:p>
    <w:p w:rsidR="00984EE8" w:rsidRDefault="00984EE8" w:rsidP="00984EE8">
      <w:pPr>
        <w:contextualSpacing/>
        <w:jc w:val="both"/>
        <w:rPr>
          <w:rFonts w:cs="Times New Roman"/>
          <w:bCs/>
        </w:rPr>
      </w:pPr>
    </w:p>
    <w:p w:rsidR="00226B70" w:rsidRPr="00685C77" w:rsidRDefault="00226B70" w:rsidP="00984EE8">
      <w:pPr>
        <w:contextualSpacing/>
        <w:jc w:val="both"/>
        <w:rPr>
          <w:rFonts w:cs="Times New Roman"/>
          <w:bCs/>
        </w:rPr>
      </w:pPr>
    </w:p>
    <w:p w:rsidR="00984EE8" w:rsidRPr="00685C77" w:rsidRDefault="00FD3D37" w:rsidP="00984EE8">
      <w:pPr>
        <w:contextualSpacing/>
        <w:jc w:val="both"/>
        <w:rPr>
          <w:rFonts w:cs="Times New Roman"/>
          <w:bCs/>
        </w:rPr>
      </w:pPr>
      <w:r w:rsidRPr="00685C77">
        <w:rPr>
          <w:bCs/>
        </w:rPr>
        <w:t>Cordial saludo verificada la solicitud, se da respuesta a lo competente de la Dirección Hospitalaria así:</w:t>
      </w:r>
    </w:p>
    <w:p w:rsidR="002A4ACA" w:rsidRDefault="002A4ACA" w:rsidP="00226B70">
      <w:pPr>
        <w:jc w:val="both"/>
        <w:rPr>
          <w:rFonts w:cs="Times New Roman"/>
          <w:b/>
          <w:bCs/>
          <w:i/>
        </w:rPr>
      </w:pPr>
    </w:p>
    <w:p w:rsidR="00226B70" w:rsidRDefault="00226B70" w:rsidP="00226B70">
      <w:pPr>
        <w:jc w:val="both"/>
        <w:rPr>
          <w:rFonts w:cs="Times New Roman"/>
          <w:b/>
          <w:bCs/>
          <w:i/>
        </w:rPr>
      </w:pPr>
      <w:r w:rsidRPr="00226B70">
        <w:rPr>
          <w:rFonts w:cs="Times New Roman"/>
          <w:b/>
          <w:bCs/>
          <w:i/>
        </w:rPr>
        <w:drawing>
          <wp:inline distT="0" distB="0" distL="0" distR="0" wp14:anchorId="6A153114" wp14:editId="13CC8EF6">
            <wp:extent cx="5612130" cy="4978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B70" w:rsidRDefault="00226B70" w:rsidP="00226B70">
      <w:pPr>
        <w:jc w:val="both"/>
        <w:rPr>
          <w:rFonts w:cs="Times New Roman"/>
          <w:b/>
          <w:bCs/>
          <w:i/>
        </w:rPr>
      </w:pPr>
    </w:p>
    <w:p w:rsidR="00226B70" w:rsidRPr="00226B70" w:rsidRDefault="00226B70" w:rsidP="00226B70">
      <w:pPr>
        <w:jc w:val="both"/>
        <w:rPr>
          <w:rFonts w:cs="Times New Roman"/>
          <w:b/>
          <w:bCs/>
          <w:i/>
        </w:rPr>
      </w:pPr>
    </w:p>
    <w:p w:rsidR="00FD3D37" w:rsidRDefault="008833C1" w:rsidP="00226B70">
      <w:pPr>
        <w:jc w:val="both"/>
        <w:rPr>
          <w:rFonts w:cs="Times New Roman"/>
          <w:bCs/>
        </w:rPr>
      </w:pPr>
      <w:r w:rsidRPr="00226B70">
        <w:rPr>
          <w:rFonts w:cs="Times New Roman"/>
          <w:bCs/>
          <w:u w:val="single"/>
        </w:rPr>
        <w:t>Respuesta</w:t>
      </w:r>
      <w:r w:rsidRPr="00685C77">
        <w:rPr>
          <w:rFonts w:cs="Times New Roman"/>
          <w:bCs/>
        </w:rPr>
        <w:t xml:space="preserve">: </w:t>
      </w:r>
      <w:r w:rsidR="00226B70">
        <w:rPr>
          <w:rFonts w:cs="Times New Roman"/>
          <w:bCs/>
        </w:rPr>
        <w:t>D</w:t>
      </w:r>
      <w:r w:rsidR="00226B70" w:rsidRPr="00226B70">
        <w:rPr>
          <w:rFonts w:cs="Times New Roman"/>
          <w:bCs/>
        </w:rPr>
        <w:t xml:space="preserve">e acuerdo a lo conversado con la Subgerencia de Servicios de Salud, este ítem requiere información relacionada con oportunidad de Consulta Externa. </w:t>
      </w:r>
      <w:r w:rsidR="00226B70">
        <w:rPr>
          <w:rFonts w:cs="Times New Roman"/>
          <w:bCs/>
        </w:rPr>
        <w:t xml:space="preserve"> </w:t>
      </w:r>
      <w:r w:rsidR="00226B70" w:rsidRPr="00226B70">
        <w:rPr>
          <w:rFonts w:cs="Times New Roman"/>
          <w:bCs/>
        </w:rPr>
        <w:t>Dado lo anterior, no es competencia de la Dirección Técnica de Servicios Hospitalarios</w:t>
      </w:r>
      <w:r w:rsidR="00226B70">
        <w:rPr>
          <w:rFonts w:cs="Times New Roman"/>
          <w:bCs/>
        </w:rPr>
        <w:t>.</w:t>
      </w:r>
    </w:p>
    <w:p w:rsidR="00226B70" w:rsidRDefault="00226B70" w:rsidP="00226B70">
      <w:pPr>
        <w:jc w:val="both"/>
        <w:rPr>
          <w:rFonts w:cs="Times New Roman"/>
          <w:bCs/>
        </w:rPr>
      </w:pPr>
    </w:p>
    <w:p w:rsidR="00226B70" w:rsidRDefault="00226B70" w:rsidP="00226B70">
      <w:pPr>
        <w:jc w:val="both"/>
        <w:rPr>
          <w:rFonts w:cs="Times New Roman"/>
          <w:bCs/>
        </w:rPr>
      </w:pPr>
    </w:p>
    <w:p w:rsidR="00226B70" w:rsidRDefault="00226B70" w:rsidP="00226B70">
      <w:pPr>
        <w:jc w:val="both"/>
        <w:rPr>
          <w:rFonts w:cs="Times New Roman"/>
          <w:bCs/>
        </w:rPr>
      </w:pPr>
      <w:r w:rsidRPr="00226B70">
        <w:rPr>
          <w:rFonts w:cs="Times New Roman"/>
          <w:bCs/>
        </w:rPr>
        <w:drawing>
          <wp:inline distT="0" distB="0" distL="0" distR="0" wp14:anchorId="62FE1B57" wp14:editId="715EF06A">
            <wp:extent cx="5612130" cy="660400"/>
            <wp:effectExtent l="0" t="0" r="7620" b="635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6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6B70" w:rsidRDefault="00226B70" w:rsidP="00226B70">
      <w:pPr>
        <w:jc w:val="both"/>
        <w:rPr>
          <w:rFonts w:cs="Times New Roman"/>
          <w:bCs/>
        </w:rPr>
      </w:pPr>
    </w:p>
    <w:p w:rsidR="00226B70" w:rsidRDefault="00226B70" w:rsidP="00226B70">
      <w:pPr>
        <w:jc w:val="both"/>
        <w:rPr>
          <w:rFonts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  <w:r w:rsidRPr="00226B70">
        <w:rPr>
          <w:rFonts w:ascii="Times New Roman" w:hAnsi="Times New Roman" w:cs="Times New Roman"/>
          <w:bCs/>
          <w:u w:val="single"/>
        </w:rPr>
        <w:t>Respuesta</w:t>
      </w:r>
      <w:r>
        <w:rPr>
          <w:rFonts w:ascii="Times New Roman" w:hAnsi="Times New Roman" w:cs="Times New Roman"/>
          <w:bCs/>
        </w:rPr>
        <w:t>:</w:t>
      </w: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Cs/>
        </w:rPr>
      </w:pPr>
    </w:p>
    <w:p w:rsidR="00226B70" w:rsidRPr="00226B70" w:rsidRDefault="00226B70" w:rsidP="00226B70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26B70">
        <w:rPr>
          <w:rFonts w:ascii="Times New Roman" w:hAnsi="Times New Roman" w:cs="Times New Roman"/>
          <w:b/>
          <w:bCs/>
        </w:rPr>
        <w:lastRenderedPageBreak/>
        <w:t>Gráfica N°1: “</w:t>
      </w:r>
      <w:r w:rsidRPr="00226B70">
        <w:rPr>
          <w:rFonts w:ascii="Times New Roman" w:hAnsi="Times New Roman" w:cs="Times New Roman"/>
          <w:bCs/>
          <w:i/>
        </w:rPr>
        <w:t>Comportamiento Indicador Global Porcentaje Ocupacional servicios hospitalarios año 2023, 2024 y 2025”</w:t>
      </w:r>
    </w:p>
    <w:p w:rsidR="00226B70" w:rsidRDefault="00226B70" w:rsidP="00226B70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26B70" w:rsidRPr="000D5D82" w:rsidRDefault="00226B70" w:rsidP="00226B70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noProof/>
          <w:lang w:val="es-419" w:eastAsia="es-419"/>
        </w:rPr>
        <w:drawing>
          <wp:inline distT="0" distB="0" distL="0" distR="0" wp14:anchorId="2829E9C0" wp14:editId="6AF92FFB">
            <wp:extent cx="5676900" cy="22860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0D5D82">
        <w:rPr>
          <w:rFonts w:ascii="Times New Roman" w:eastAsia="Times New Roman" w:hAnsi="Times New Roman" w:cs="Times New Roman"/>
          <w:b/>
          <w:i/>
          <w:sz w:val="16"/>
          <w:szCs w:val="16"/>
          <w:bdr w:val="none" w:sz="0" w:space="0" w:color="auto" w:frame="1"/>
          <w:shd w:val="clear" w:color="auto" w:fill="FFFFFF"/>
          <w:lang w:eastAsia="es-ES"/>
        </w:rPr>
        <w:t>Fuente:</w:t>
      </w:r>
      <w:r w:rsidRPr="000D5D82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  <w:shd w:val="clear" w:color="auto" w:fill="FFFFFF"/>
          <w:lang w:eastAsia="es-ES"/>
        </w:rPr>
        <w:t xml:space="preserve"> Estadística </w:t>
      </w:r>
      <w:proofErr w:type="spellStart"/>
      <w:r w:rsidRPr="000D5D82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  <w:shd w:val="clear" w:color="auto" w:fill="FFFFFF"/>
          <w:lang w:eastAsia="es-ES"/>
        </w:rPr>
        <w:t>SubredCo</w:t>
      </w:r>
      <w:proofErr w:type="spellEnd"/>
      <w:r w:rsidRPr="000D5D82">
        <w:rPr>
          <w:rFonts w:ascii="Times New Roman" w:eastAsia="Times New Roman" w:hAnsi="Times New Roman" w:cs="Times New Roman"/>
          <w:i/>
          <w:sz w:val="16"/>
          <w:szCs w:val="16"/>
          <w:bdr w:val="none" w:sz="0" w:space="0" w:color="auto" w:frame="1"/>
          <w:shd w:val="clear" w:color="auto" w:fill="FFFFFF"/>
          <w:lang w:eastAsia="es-ES"/>
        </w:rPr>
        <w:t xml:space="preserve"> 2017-2025- Elaboración propia- Dirección T. Hospitalaria</w:t>
      </w:r>
    </w:p>
    <w:p w:rsidR="00226B70" w:rsidRPr="000D5D82" w:rsidRDefault="00226B70" w:rsidP="00226B70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bdr w:val="none" w:sz="0" w:space="0" w:color="auto" w:frame="1"/>
          <w:shd w:val="clear" w:color="auto" w:fill="FFFFFF"/>
        </w:rPr>
      </w:pPr>
    </w:p>
    <w:p w:rsidR="00226B70" w:rsidRPr="00226B70" w:rsidRDefault="00226B70" w:rsidP="00226B70">
      <w:pPr>
        <w:pStyle w:val="NormalWeb"/>
        <w:jc w:val="both"/>
        <w:rPr>
          <w:rFonts w:eastAsia="+mn-ea"/>
          <w:color w:val="000000"/>
          <w:kern w:val="24"/>
          <w:lang w:val="es-CO"/>
        </w:rPr>
      </w:pPr>
      <w:r w:rsidRPr="00226B70">
        <w:rPr>
          <w:rFonts w:eastAsia="+mn-ea"/>
          <w:color w:val="000000"/>
          <w:kern w:val="24"/>
          <w:lang w:val="es-MX"/>
        </w:rPr>
        <w:t xml:space="preserve">Con respecto al indicador de porcentaje ocupacional, </w:t>
      </w:r>
      <w:r w:rsidRPr="00226B70">
        <w:rPr>
          <w:rFonts w:eastAsia="+mn-ea"/>
          <w:color w:val="000000"/>
          <w:kern w:val="24"/>
        </w:rPr>
        <w:t>se evidencia en promedio una disminución del 9,5% del indicador para el primer trimestre de 2025, en comparación con primer trimestre del año 2024, y una disminución del 0,5% en comparación con el primer trimestre del año 2023.</w:t>
      </w:r>
    </w:p>
    <w:p w:rsidR="00226B70" w:rsidRPr="00226B70" w:rsidRDefault="00226B70" w:rsidP="00226B70">
      <w:pPr>
        <w:pStyle w:val="NormalWeb"/>
        <w:jc w:val="both"/>
        <w:rPr>
          <w:rFonts w:eastAsia="+mn-ea"/>
          <w:color w:val="000000"/>
          <w:kern w:val="24"/>
        </w:rPr>
      </w:pPr>
      <w:r w:rsidRPr="00226B70">
        <w:rPr>
          <w:rFonts w:eastAsia="+mn-ea"/>
          <w:color w:val="000000"/>
          <w:kern w:val="24"/>
        </w:rPr>
        <w:t>Los servicios hospitalarios con mayor ocupación para el año 2023 fueron Medicina Interna (116,6%), Psiquiatría (113,5%) y Quirúrgicos (127,8%).</w:t>
      </w:r>
    </w:p>
    <w:p w:rsidR="00226B70" w:rsidRPr="00226B70" w:rsidRDefault="00226B70" w:rsidP="00226B70">
      <w:pPr>
        <w:pStyle w:val="NormalWeb"/>
        <w:jc w:val="both"/>
        <w:rPr>
          <w:rFonts w:eastAsia="+mn-ea"/>
          <w:color w:val="000000"/>
          <w:kern w:val="24"/>
        </w:rPr>
      </w:pPr>
      <w:r w:rsidRPr="00226B70">
        <w:rPr>
          <w:rFonts w:eastAsia="+mn-ea"/>
          <w:color w:val="000000"/>
          <w:kern w:val="24"/>
        </w:rPr>
        <w:t xml:space="preserve">Para la vigencia 2024, los servicios que presentan mayor ocupación fueron igualmente, Medicina Interna (121,1%), Psiquiatría (114,6%) y Quirúrgicos (142,1%). </w:t>
      </w:r>
    </w:p>
    <w:p w:rsidR="00226B70" w:rsidRPr="00226B70" w:rsidRDefault="00226B70" w:rsidP="00226B70">
      <w:pPr>
        <w:pStyle w:val="NormalWeb"/>
        <w:jc w:val="both"/>
        <w:rPr>
          <w:rFonts w:eastAsia="+mn-ea"/>
          <w:color w:val="000000"/>
          <w:kern w:val="24"/>
        </w:rPr>
      </w:pPr>
      <w:r w:rsidRPr="00226B70">
        <w:rPr>
          <w:rFonts w:eastAsia="+mn-ea"/>
          <w:color w:val="000000"/>
          <w:kern w:val="24"/>
        </w:rPr>
        <w:t xml:space="preserve">En lo que va corrido del año 2025, los servicios con mayor ocupación son Medicina Interna (96,8%), Unidad Cuidado Intensivo (93,1%) e Intermedio Adulto (93,1%) y Quirúrgicos (94,2%), evidenciando una disminución del 19, puntos porcentuales en la ocupación para el año 2025 en el servicio de Medicina Interna, en comparación con la vigencia 2023 y de 24,3 puntos porcentuales en comparación con la vigencia 2024.  </w:t>
      </w:r>
    </w:p>
    <w:p w:rsidR="00226B70" w:rsidRPr="00226B70" w:rsidRDefault="00226B70" w:rsidP="00226B70">
      <w:pPr>
        <w:pStyle w:val="NormalWeb"/>
        <w:jc w:val="both"/>
        <w:rPr>
          <w:rFonts w:eastAsia="+mn-ea"/>
          <w:color w:val="000000"/>
          <w:kern w:val="24"/>
        </w:rPr>
      </w:pPr>
      <w:r w:rsidRPr="00226B70">
        <w:rPr>
          <w:rFonts w:eastAsia="+mn-ea"/>
          <w:color w:val="000000"/>
          <w:kern w:val="24"/>
        </w:rPr>
        <w:t xml:space="preserve">Para los servicios Quirúrgicos, se evidencia una disminución de 32,8 puntos porcentuales en la ocupación para la vigencia 2025, en comparación con el año 2023 y una disminución del 47,9% en comparación con la vigencia 2024. </w:t>
      </w:r>
    </w:p>
    <w:p w:rsidR="00226B70" w:rsidRDefault="00226B70" w:rsidP="00226B70">
      <w:pPr>
        <w:pStyle w:val="NormalWeb"/>
        <w:jc w:val="both"/>
        <w:rPr>
          <w:rFonts w:eastAsia="+mn-ea"/>
          <w:color w:val="000000"/>
          <w:kern w:val="24"/>
        </w:rPr>
      </w:pPr>
      <w:r w:rsidRPr="00226B70">
        <w:rPr>
          <w:rFonts w:eastAsia="+mn-ea"/>
          <w:color w:val="000000"/>
          <w:kern w:val="24"/>
        </w:rPr>
        <w:t>A continuación, se presenta el comportamiento del indicador por sedes desde el año 2023 a marzo del 2025.</w:t>
      </w:r>
    </w:p>
    <w:p w:rsidR="00226B70" w:rsidRDefault="00226B70" w:rsidP="00226B70">
      <w:pPr>
        <w:pStyle w:val="NormalWeb"/>
        <w:jc w:val="both"/>
        <w:rPr>
          <w:rFonts w:eastAsia="+mn-ea"/>
          <w:color w:val="000000"/>
          <w:kern w:val="24"/>
          <w:sz w:val="22"/>
          <w:szCs w:val="22"/>
        </w:rPr>
      </w:pPr>
    </w:p>
    <w:p w:rsidR="00226B70" w:rsidRDefault="00226B70" w:rsidP="00226B70">
      <w:pPr>
        <w:pStyle w:val="NormalWeb"/>
        <w:jc w:val="center"/>
        <w:rPr>
          <w:rFonts w:eastAsia="+mn-ea"/>
          <w:color w:val="000000"/>
          <w:kern w:val="24"/>
          <w:sz w:val="22"/>
          <w:szCs w:val="22"/>
        </w:rPr>
      </w:pPr>
      <w:r>
        <w:rPr>
          <w:b/>
          <w:bCs/>
        </w:rPr>
        <w:lastRenderedPageBreak/>
        <w:t>Gráfica N°2: “</w:t>
      </w:r>
      <w:r w:rsidRPr="00523D41">
        <w:rPr>
          <w:bCs/>
          <w:i/>
        </w:rPr>
        <w:t xml:space="preserve">Comportamiento Porcentaje Ocupacional </w:t>
      </w:r>
      <w:r>
        <w:rPr>
          <w:bCs/>
          <w:i/>
        </w:rPr>
        <w:t>por sedes hospitalarias”</w:t>
      </w:r>
    </w:p>
    <w:tbl>
      <w:tblPr>
        <w:tblpPr w:leftFromText="141" w:rightFromText="141" w:vertAnchor="text" w:horzAnchor="margin" w:tblpY="60"/>
        <w:tblW w:w="90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1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  <w:gridCol w:w="572"/>
      </w:tblGrid>
      <w:tr w:rsidR="00226B70" w:rsidRPr="004073EA" w:rsidTr="00226B70">
        <w:trPr>
          <w:trHeight w:val="298"/>
          <w:tblHeader/>
        </w:trPr>
        <w:tc>
          <w:tcPr>
            <w:tcW w:w="907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5B9BD5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  <w:t>IND. PORCENTAJE OCUPACIONAL SERVICIOS HOSPITALARIOS POR SEDES 2023-2024-2025</w:t>
            </w:r>
          </w:p>
        </w:tc>
      </w:tr>
      <w:tr w:rsidR="00226B70" w:rsidRPr="004073EA" w:rsidTr="00226B70">
        <w:trPr>
          <w:trHeight w:val="313"/>
          <w:tblHeader/>
        </w:trPr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  <w:t>SEDE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000000"/>
                <w:sz w:val="14"/>
                <w:szCs w:val="22"/>
                <w:lang w:val="es-CO"/>
              </w:rPr>
              <w:t>AÑO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ENE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FEB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MAR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ABR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MAY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JUN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JUL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AGO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SEPT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OCT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NOV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2F75B5" w:fill="BDD7EE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bCs/>
                <w:color w:val="auto"/>
                <w:sz w:val="14"/>
                <w:szCs w:val="22"/>
                <w:lang w:val="es-CO"/>
              </w:rPr>
              <w:t>DIC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 xml:space="preserve">HOSPITAL SANTA CLARA </w:t>
            </w:r>
          </w:p>
        </w:tc>
        <w:tc>
          <w:tcPr>
            <w:tcW w:w="5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102,4%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94,6%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126,0%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95,8%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97,5%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124,4%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122,8%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125,4%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127,5%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125,6%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128,6%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123,7%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126,4%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125,9%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120,9%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122,0%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117,8%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121,8%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125,5%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95,3%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96,60%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HOSPITAL LA VICTORIA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61,5%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65,2%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48,2%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69,4%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63,7%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60,5%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72,0%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68,0%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126,8%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98,5%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94,7%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99,3%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98,0%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86,1%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85,75%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HOSPITAL SAN BLAS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54,6%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82,1%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82,3%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83,5%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74,2%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91,1%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109,7%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115,0%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116,9%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133,2%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133,4%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124,6%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119,6%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117,4%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115,2%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121,8%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82,8%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91,6%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95,21%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HOSPITAL MATERNO INFANTIL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84,2%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84,7%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72,0%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70,2%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71,1%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82,1%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85,6%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88,7%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83,6%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77,3%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74,2%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73,5%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85,1%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90,6%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78,0%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70,9%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 xml:space="preserve">HOSPITAL JORGE E. GAITÁN 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87,0%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84,9%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65,1%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70,1%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44,9%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65,0%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79,5%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73,0%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69,1%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72,3%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65,4%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69,7%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69,1%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75,3%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78,8%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84,2%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70,8%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76,57%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CENTRO DE SALUD PERSEVERANCIA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97,0%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99,0%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98,6%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72,8%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87,0%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57,0%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49,5%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33,5%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79,0%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58,0%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38,4%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92,0%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90,1%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95,9%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94,8%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92,5%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92,4%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89,1%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82,3%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95,0%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80,82%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CENTRO DE SALUD SAMPER MENDOZA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94,0%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78,2%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66,9%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73,1%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81,1%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55,1%</w:t>
            </w:r>
          </w:p>
        </w:tc>
      </w:tr>
      <w:tr w:rsidR="00226B70" w:rsidRPr="004073EA" w:rsidTr="00226B70">
        <w:trPr>
          <w:trHeight w:val="298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98,9%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97,7%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99,4%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98,9%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99,2%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97,5%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93,8%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96,1%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87,6%</w:t>
            </w:r>
          </w:p>
        </w:tc>
      </w:tr>
      <w:tr w:rsidR="00226B70" w:rsidRPr="004073EA" w:rsidTr="00226B70">
        <w:trPr>
          <w:trHeight w:val="313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b/>
                <w:color w:val="000000"/>
                <w:sz w:val="14"/>
                <w:szCs w:val="22"/>
                <w:lang w:val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88,4%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99,19%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B70" w:rsidRPr="004073EA" w:rsidRDefault="00226B70" w:rsidP="00226B7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</w:pPr>
            <w:r w:rsidRPr="004073EA">
              <w:rPr>
                <w:rFonts w:eastAsia="Times New Roman" w:cs="Times New Roman"/>
                <w:color w:val="000000"/>
                <w:sz w:val="14"/>
                <w:szCs w:val="22"/>
                <w:lang w:val="es-CO"/>
              </w:rPr>
              <w:t> </w:t>
            </w:r>
          </w:p>
        </w:tc>
      </w:tr>
    </w:tbl>
    <w:p w:rsidR="00226B70" w:rsidRDefault="00226B70" w:rsidP="00226B70">
      <w:pPr>
        <w:pStyle w:val="NormalWeb"/>
        <w:jc w:val="center"/>
        <w:rPr>
          <w:i/>
          <w:color w:val="000000"/>
          <w:sz w:val="16"/>
          <w:szCs w:val="16"/>
          <w:bdr w:val="none" w:sz="0" w:space="0" w:color="auto" w:frame="1"/>
          <w:shd w:val="clear" w:color="auto" w:fill="FFFFFF"/>
          <w:lang w:val="es-CO"/>
        </w:rPr>
      </w:pPr>
      <w:r w:rsidRPr="000D5D82">
        <w:rPr>
          <w:b/>
          <w:i/>
          <w:color w:val="000000"/>
          <w:sz w:val="16"/>
          <w:szCs w:val="16"/>
          <w:bdr w:val="none" w:sz="0" w:space="0" w:color="auto" w:frame="1"/>
          <w:shd w:val="clear" w:color="auto" w:fill="FFFFFF"/>
          <w:lang w:val="es-CO"/>
        </w:rPr>
        <w:t>Fuente:</w:t>
      </w:r>
      <w:r w:rsidRPr="000D5D82">
        <w:rPr>
          <w:i/>
          <w:color w:val="000000"/>
          <w:sz w:val="16"/>
          <w:szCs w:val="16"/>
          <w:bdr w:val="none" w:sz="0" w:space="0" w:color="auto" w:frame="1"/>
          <w:shd w:val="clear" w:color="auto" w:fill="FFFFFF"/>
          <w:lang w:val="es-CO"/>
        </w:rPr>
        <w:t xml:space="preserve"> Estadística </w:t>
      </w:r>
      <w:proofErr w:type="spellStart"/>
      <w:r w:rsidRPr="000D5D82">
        <w:rPr>
          <w:i/>
          <w:color w:val="000000"/>
          <w:sz w:val="16"/>
          <w:szCs w:val="16"/>
          <w:bdr w:val="none" w:sz="0" w:space="0" w:color="auto" w:frame="1"/>
          <w:shd w:val="clear" w:color="auto" w:fill="FFFFFF"/>
          <w:lang w:val="es-CO"/>
        </w:rPr>
        <w:t>SubredCo</w:t>
      </w:r>
      <w:proofErr w:type="spellEnd"/>
      <w:r w:rsidRPr="000D5D82">
        <w:rPr>
          <w:i/>
          <w:color w:val="000000"/>
          <w:sz w:val="16"/>
          <w:szCs w:val="16"/>
          <w:bdr w:val="none" w:sz="0" w:space="0" w:color="auto" w:frame="1"/>
          <w:shd w:val="clear" w:color="auto" w:fill="FFFFFF"/>
          <w:lang w:val="es-CO"/>
        </w:rPr>
        <w:t xml:space="preserve"> 2017-2025- Elaboración propia- Dirección T. Hospitalaria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 xml:space="preserve">Para la vigencia 2023, se evidencia que la sede con mayor porcentaje ocupacional fue el Hospital Santa Clara con un promedio de ocupación del 108,6%, específicamente en los servicios de Medicina Interna (109,5%), Psiquiatría (119,5%) y Quirúrgicos (120,7%); sin embargo, para la vigencia 2025, se logró la disminución del porcentaje ocupacional promedio de esta sede en 12,56 puntos porcentuales.  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 xml:space="preserve">Por otro lado, la sede con menor ocupación para la vigencia 2023 fue Hospital La Victoria (68,7%), teniendo en cuenta la medida preventiva de cierre durante esta vigencia. 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 xml:space="preserve">Para la vigencia 2024, se evidencia que la sede con mayor porcentaje ocupacional fue el Hospital Santa Clara con un promedio de ocupación del 120,8%, específicamente en los servicios de Psiquiatría (141,6%) y Quirúrgicos (136,9%) y Medicina Interna (113,9%); sin </w:t>
      </w: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lastRenderedPageBreak/>
        <w:t xml:space="preserve">embargo, para la vigencia 2025, se logró la disminución del porcentaje ocupacional promedio de esta sede en 24,4 puntos porcentuales.  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>Por otro lado, la sede con menor ocupación para la vigencia 2024 fue Hospital Materno Infantil (82,5%).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>Para el primer trimestre del 2025, se evidencia que la sede con mayor porcentaje ocupacional fue el Hospital Santa Clara con un promedio de ocupación del 96,04%, específicamente en los servicios de Medicina Interna (100%) y Quirúrgicos (100%) y Psiquiatría (99,58%).</w:t>
      </w:r>
    </w:p>
    <w:p w:rsidR="00226B70" w:rsidRPr="00226B70" w:rsidRDefault="00226B70" w:rsidP="00226B70">
      <w:pPr>
        <w:pStyle w:val="NormalWeb"/>
        <w:jc w:val="both"/>
        <w:rPr>
          <w:color w:val="000000"/>
          <w:bdr w:val="none" w:sz="0" w:space="0" w:color="auto" w:frame="1"/>
          <w:shd w:val="clear" w:color="auto" w:fill="FFFFFF"/>
          <w:lang w:val="es-CO"/>
        </w:rPr>
      </w:pPr>
      <w:r w:rsidRPr="00226B70">
        <w:rPr>
          <w:color w:val="000000"/>
          <w:bdr w:val="none" w:sz="0" w:space="0" w:color="auto" w:frame="1"/>
          <w:shd w:val="clear" w:color="auto" w:fill="FFFFFF"/>
          <w:lang w:val="es-CO"/>
        </w:rPr>
        <w:t>Por otro lado, la sede con menor ocupación para el primer trimestre de 2025 fue Hospital Materno Infantil (74,36%).</w:t>
      </w:r>
    </w:p>
    <w:p w:rsidR="00226B70" w:rsidRPr="00226B70" w:rsidRDefault="00226B70" w:rsidP="00226B70">
      <w:pPr>
        <w:jc w:val="both"/>
        <w:rPr>
          <w:rFonts w:cs="Times New Roman"/>
          <w:bCs/>
        </w:rPr>
      </w:pPr>
      <w:r w:rsidRPr="00226B70">
        <w:rPr>
          <w:rFonts w:eastAsia="+mn-ea"/>
          <w:color w:val="000000"/>
          <w:kern w:val="24"/>
          <w:lang w:val="es-MX"/>
        </w:rPr>
        <w:t>Finalmente, se continua con la implementación de diferentes estrategias que propendan por la disminución significativa de este indicador, como se ha evidenciado para la vigencia 2025 en los diferentes servicios hospitalarios; la alta ocupación en algunos servicios, se debe a la alta carga de enfermedad, las características sociodemográficas de nuestra población del área de influencia, el perfil de morbilidad de las localidades, entre otras.</w:t>
      </w:r>
    </w:p>
    <w:p w:rsidR="008833C1" w:rsidRPr="00226B70" w:rsidRDefault="008833C1" w:rsidP="008A42C4">
      <w:pPr>
        <w:jc w:val="both"/>
        <w:rPr>
          <w:rFonts w:cs="Times New Roman"/>
          <w:bCs/>
        </w:rPr>
      </w:pPr>
    </w:p>
    <w:p w:rsidR="0060198A" w:rsidRPr="00226B70" w:rsidRDefault="0060198A" w:rsidP="008A42C4">
      <w:pPr>
        <w:jc w:val="both"/>
        <w:rPr>
          <w:rFonts w:cs="Times New Roman"/>
          <w:bCs/>
        </w:rPr>
      </w:pPr>
    </w:p>
    <w:p w:rsidR="00984EE8" w:rsidRPr="00226B70" w:rsidRDefault="00984EE8" w:rsidP="00984EE8">
      <w:pPr>
        <w:contextualSpacing/>
        <w:jc w:val="both"/>
        <w:rPr>
          <w:rFonts w:cs="Times New Roman"/>
          <w:bCs/>
        </w:rPr>
      </w:pPr>
      <w:r w:rsidRPr="00226B70">
        <w:rPr>
          <w:rFonts w:cs="Times New Roman"/>
          <w:bCs/>
        </w:rPr>
        <w:t xml:space="preserve">Cordialmente, </w:t>
      </w:r>
    </w:p>
    <w:p w:rsidR="00984EE8" w:rsidRPr="00226B70" w:rsidRDefault="00984EE8" w:rsidP="00984EE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</w:rPr>
      </w:pPr>
    </w:p>
    <w:p w:rsidR="00B466DD" w:rsidRPr="00226B70" w:rsidRDefault="00B466DD" w:rsidP="00984EE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</w:rPr>
      </w:pPr>
    </w:p>
    <w:p w:rsidR="00AF3923" w:rsidRPr="00226B70" w:rsidRDefault="00AF3923" w:rsidP="00984EE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Cs/>
        </w:rPr>
      </w:pPr>
    </w:p>
    <w:p w:rsidR="00AE151A" w:rsidRPr="00226B70" w:rsidRDefault="00F7023A" w:rsidP="00984EE8">
      <w:pPr>
        <w:spacing w:line="240" w:lineRule="auto"/>
        <w:jc w:val="both"/>
        <w:rPr>
          <w:rFonts w:eastAsia="Times New Roman" w:cs="Times New Roman"/>
          <w:b/>
          <w:lang w:val="es-MX" w:eastAsia="zh-CN"/>
        </w:rPr>
      </w:pPr>
      <w:r w:rsidRPr="00226B70">
        <w:rPr>
          <w:rFonts w:eastAsia="Times New Roman" w:cs="Times New Roman"/>
          <w:b/>
          <w:lang w:val="es-MX" w:eastAsia="zh-CN"/>
        </w:rPr>
        <w:t>YANITH PIRAGAUTA GUTIÉRREZ</w:t>
      </w:r>
    </w:p>
    <w:p w:rsidR="00984EE8" w:rsidRPr="00226B70" w:rsidRDefault="00F7023A" w:rsidP="00984EE8">
      <w:pPr>
        <w:spacing w:line="240" w:lineRule="auto"/>
        <w:jc w:val="both"/>
        <w:rPr>
          <w:rFonts w:eastAsia="Times New Roman" w:cs="Times New Roman"/>
          <w:lang w:val="es-MX" w:eastAsia="zh-CN"/>
        </w:rPr>
      </w:pPr>
      <w:r w:rsidRPr="00226B70">
        <w:rPr>
          <w:rFonts w:eastAsia="Times New Roman" w:cs="Times New Roman"/>
          <w:lang w:val="es-MX" w:eastAsia="zh-CN"/>
        </w:rPr>
        <w:t>Directora Técnica Servicios Hospitalarios</w:t>
      </w:r>
    </w:p>
    <w:p w:rsidR="00984EE8" w:rsidRPr="00226B70" w:rsidRDefault="00984EE8" w:rsidP="00984EE8">
      <w:pPr>
        <w:spacing w:line="240" w:lineRule="auto"/>
        <w:jc w:val="both"/>
        <w:rPr>
          <w:rFonts w:eastAsia="Times New Roman" w:cs="Times New Roman"/>
          <w:lang w:val="es-MX" w:eastAsia="zh-CN"/>
        </w:rPr>
      </w:pPr>
      <w:r w:rsidRPr="00226B70">
        <w:rPr>
          <w:rFonts w:eastAsia="Times New Roman" w:cs="Times New Roman"/>
          <w:lang w:val="es-MX" w:eastAsia="zh-CN"/>
        </w:rPr>
        <w:t>Subred Integrada de Servicios de Salud Centro Oriente ESE</w:t>
      </w:r>
    </w:p>
    <w:p w:rsidR="00280577" w:rsidRDefault="00280577" w:rsidP="00280577">
      <w:pPr>
        <w:tabs>
          <w:tab w:val="center" w:pos="1493"/>
        </w:tabs>
        <w:rPr>
          <w:rFonts w:cs="Times New Roman"/>
          <w:sz w:val="16"/>
          <w:szCs w:val="16"/>
        </w:rPr>
      </w:pPr>
      <w:bookmarkStart w:id="0" w:name="_Hlk113632201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070"/>
        <w:gridCol w:w="2469"/>
        <w:gridCol w:w="3331"/>
        <w:gridCol w:w="1930"/>
      </w:tblGrid>
      <w:tr w:rsidR="00280577" w:rsidRPr="00FD406F" w:rsidTr="0087584B">
        <w:trPr>
          <w:jc w:val="center"/>
        </w:trPr>
        <w:tc>
          <w:tcPr>
            <w:tcW w:w="1070" w:type="dxa"/>
            <w:vAlign w:val="center"/>
          </w:tcPr>
          <w:p w:rsidR="00280577" w:rsidRPr="00FD406F" w:rsidRDefault="00280577" w:rsidP="0087584B">
            <w:pPr>
              <w:jc w:val="center"/>
              <w:rPr>
                <w:rFonts w:cs="Times New Roman"/>
                <w:b/>
                <w:sz w:val="14"/>
                <w:szCs w:val="14"/>
              </w:rPr>
            </w:pPr>
            <w:bookmarkStart w:id="1" w:name="_Hlk53121136"/>
            <w:r w:rsidRPr="00FD406F">
              <w:rPr>
                <w:rFonts w:cs="Times New Roman"/>
                <w:b/>
                <w:sz w:val="14"/>
                <w:szCs w:val="14"/>
              </w:rPr>
              <w:t>Responsable</w:t>
            </w:r>
          </w:p>
        </w:tc>
        <w:tc>
          <w:tcPr>
            <w:tcW w:w="2469" w:type="dxa"/>
            <w:vAlign w:val="center"/>
          </w:tcPr>
          <w:p w:rsidR="00280577" w:rsidRPr="00FD406F" w:rsidRDefault="00280577" w:rsidP="0087584B">
            <w:pPr>
              <w:rPr>
                <w:rFonts w:cs="Times New Roman"/>
                <w:b/>
                <w:sz w:val="14"/>
                <w:szCs w:val="14"/>
              </w:rPr>
            </w:pPr>
            <w:r w:rsidRPr="00FD406F">
              <w:rPr>
                <w:rFonts w:cs="Times New Roman"/>
                <w:b/>
                <w:sz w:val="14"/>
                <w:szCs w:val="14"/>
              </w:rPr>
              <w:t>Nombres y Apellidos Completos</w:t>
            </w:r>
          </w:p>
        </w:tc>
        <w:tc>
          <w:tcPr>
            <w:tcW w:w="3331" w:type="dxa"/>
            <w:vAlign w:val="center"/>
          </w:tcPr>
          <w:p w:rsidR="00280577" w:rsidRPr="00FD406F" w:rsidRDefault="00280577" w:rsidP="0087584B">
            <w:pPr>
              <w:rPr>
                <w:rFonts w:cs="Times New Roman"/>
                <w:b/>
                <w:sz w:val="14"/>
                <w:szCs w:val="14"/>
              </w:rPr>
            </w:pPr>
            <w:r w:rsidRPr="00FD406F">
              <w:rPr>
                <w:rFonts w:cs="Times New Roman"/>
                <w:b/>
                <w:sz w:val="14"/>
                <w:szCs w:val="14"/>
              </w:rPr>
              <w:t>Cargo y/o Perfil Contratista</w:t>
            </w:r>
          </w:p>
        </w:tc>
        <w:tc>
          <w:tcPr>
            <w:tcW w:w="1930" w:type="dxa"/>
            <w:vAlign w:val="center"/>
          </w:tcPr>
          <w:p w:rsidR="00280577" w:rsidRPr="00FD406F" w:rsidRDefault="00280577" w:rsidP="0087584B">
            <w:pPr>
              <w:jc w:val="center"/>
              <w:rPr>
                <w:rFonts w:cs="Times New Roman"/>
                <w:b/>
                <w:sz w:val="14"/>
                <w:szCs w:val="14"/>
              </w:rPr>
            </w:pPr>
            <w:r w:rsidRPr="00FD406F">
              <w:rPr>
                <w:rFonts w:cs="Times New Roman"/>
                <w:b/>
                <w:sz w:val="14"/>
                <w:szCs w:val="14"/>
              </w:rPr>
              <w:t>Firma</w:t>
            </w:r>
          </w:p>
        </w:tc>
      </w:tr>
      <w:tr w:rsidR="00663BC8" w:rsidRPr="00FD406F" w:rsidTr="0087584B">
        <w:trPr>
          <w:jc w:val="center"/>
        </w:trPr>
        <w:tc>
          <w:tcPr>
            <w:tcW w:w="1070" w:type="dxa"/>
          </w:tcPr>
          <w:p w:rsidR="00663BC8" w:rsidRPr="00FD406F" w:rsidRDefault="00663BC8" w:rsidP="00663BC8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Elaboró</w:t>
            </w:r>
          </w:p>
        </w:tc>
        <w:tc>
          <w:tcPr>
            <w:tcW w:w="2469" w:type="dxa"/>
          </w:tcPr>
          <w:p w:rsidR="00B466DD" w:rsidRPr="00FD406F" w:rsidRDefault="00226B70" w:rsidP="007D7512">
            <w:pPr>
              <w:rPr>
                <w:rFonts w:cs="Times New Roman"/>
                <w:sz w:val="14"/>
                <w:szCs w:val="14"/>
              </w:rPr>
            </w:pPr>
            <w:proofErr w:type="spellStart"/>
            <w:r w:rsidRPr="00226B70">
              <w:rPr>
                <w:rFonts w:cs="Times New Roman"/>
                <w:sz w:val="14"/>
                <w:szCs w:val="14"/>
              </w:rPr>
              <w:t>Gianna</w:t>
            </w:r>
            <w:proofErr w:type="spellEnd"/>
            <w:r w:rsidRPr="00226B70">
              <w:rPr>
                <w:rFonts w:cs="Times New Roman"/>
                <w:sz w:val="14"/>
                <w:szCs w:val="14"/>
              </w:rPr>
              <w:t xml:space="preserve"> María Castro </w:t>
            </w:r>
            <w:proofErr w:type="spellStart"/>
            <w:r w:rsidRPr="00226B70">
              <w:rPr>
                <w:rFonts w:cs="Times New Roman"/>
                <w:sz w:val="14"/>
                <w:szCs w:val="14"/>
              </w:rPr>
              <w:t>Jimenez</w:t>
            </w:r>
            <w:proofErr w:type="spellEnd"/>
          </w:p>
        </w:tc>
        <w:tc>
          <w:tcPr>
            <w:tcW w:w="3331" w:type="dxa"/>
          </w:tcPr>
          <w:p w:rsidR="00B466DD" w:rsidRPr="00FD406F" w:rsidRDefault="00226B70" w:rsidP="007D7512">
            <w:pPr>
              <w:rPr>
                <w:rFonts w:cs="Times New Roman"/>
                <w:sz w:val="14"/>
                <w:szCs w:val="14"/>
              </w:rPr>
            </w:pPr>
            <w:r w:rsidRPr="00226B70">
              <w:rPr>
                <w:rFonts w:cs="Times New Roman"/>
                <w:sz w:val="14"/>
                <w:szCs w:val="14"/>
              </w:rPr>
              <w:t>Apoyo Profesional</w:t>
            </w:r>
            <w:bookmarkStart w:id="2" w:name="_GoBack"/>
            <w:bookmarkEnd w:id="2"/>
          </w:p>
        </w:tc>
        <w:tc>
          <w:tcPr>
            <w:tcW w:w="1930" w:type="dxa"/>
          </w:tcPr>
          <w:p w:rsidR="00663BC8" w:rsidRPr="00FD406F" w:rsidRDefault="00663BC8" w:rsidP="00663BC8">
            <w:pPr>
              <w:rPr>
                <w:rFonts w:cs="Times New Roman"/>
                <w:sz w:val="14"/>
                <w:szCs w:val="14"/>
              </w:rPr>
            </w:pPr>
          </w:p>
        </w:tc>
      </w:tr>
      <w:tr w:rsidR="00DD7ACA" w:rsidRPr="00FD406F" w:rsidTr="0087584B">
        <w:trPr>
          <w:jc w:val="center"/>
        </w:trPr>
        <w:tc>
          <w:tcPr>
            <w:tcW w:w="107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Aprobó</w:t>
            </w:r>
          </w:p>
        </w:tc>
        <w:tc>
          <w:tcPr>
            <w:tcW w:w="2469" w:type="dxa"/>
          </w:tcPr>
          <w:p w:rsidR="00DD7ACA" w:rsidRPr="00FD406F" w:rsidRDefault="00F7023A" w:rsidP="00DD7ACA">
            <w:pPr>
              <w:rPr>
                <w:rFonts w:cs="Times New Roman"/>
                <w:sz w:val="14"/>
                <w:szCs w:val="14"/>
              </w:rPr>
            </w:pPr>
            <w:proofErr w:type="spellStart"/>
            <w:r w:rsidRPr="00F7023A">
              <w:rPr>
                <w:rFonts w:cs="Times New Roman"/>
                <w:sz w:val="14"/>
                <w:szCs w:val="14"/>
              </w:rPr>
              <w:t>Yanith</w:t>
            </w:r>
            <w:proofErr w:type="spellEnd"/>
            <w:r w:rsidRPr="00F7023A">
              <w:rPr>
                <w:rFonts w:cs="Times New Roman"/>
                <w:sz w:val="14"/>
                <w:szCs w:val="14"/>
              </w:rPr>
              <w:t xml:space="preserve"> </w:t>
            </w:r>
            <w:proofErr w:type="spellStart"/>
            <w:r w:rsidRPr="00F7023A">
              <w:rPr>
                <w:rFonts w:cs="Times New Roman"/>
                <w:sz w:val="14"/>
                <w:szCs w:val="14"/>
              </w:rPr>
              <w:t>Piragauta</w:t>
            </w:r>
            <w:proofErr w:type="spellEnd"/>
            <w:r w:rsidRPr="00F7023A">
              <w:rPr>
                <w:rFonts w:cs="Times New Roman"/>
                <w:sz w:val="14"/>
                <w:szCs w:val="14"/>
              </w:rPr>
              <w:t xml:space="preserve"> Gutiérrez</w:t>
            </w:r>
          </w:p>
        </w:tc>
        <w:tc>
          <w:tcPr>
            <w:tcW w:w="3331" w:type="dxa"/>
          </w:tcPr>
          <w:p w:rsidR="00DD7ACA" w:rsidRPr="00FD406F" w:rsidRDefault="00F7023A" w:rsidP="00DD7ACA">
            <w:pPr>
              <w:rPr>
                <w:rFonts w:cs="Times New Roman"/>
                <w:sz w:val="14"/>
                <w:szCs w:val="14"/>
              </w:rPr>
            </w:pPr>
            <w:r w:rsidRPr="00F7023A">
              <w:rPr>
                <w:rFonts w:cs="Times New Roman"/>
                <w:sz w:val="14"/>
                <w:szCs w:val="14"/>
              </w:rPr>
              <w:t>Directora Técnica Servicios Hospitalarios</w:t>
            </w:r>
          </w:p>
        </w:tc>
        <w:tc>
          <w:tcPr>
            <w:tcW w:w="193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</w:p>
        </w:tc>
      </w:tr>
      <w:tr w:rsidR="00DD7ACA" w:rsidRPr="00FD406F" w:rsidTr="0087584B">
        <w:trPr>
          <w:jc w:val="center"/>
        </w:trPr>
        <w:tc>
          <w:tcPr>
            <w:tcW w:w="107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Consolidó</w:t>
            </w:r>
          </w:p>
        </w:tc>
        <w:tc>
          <w:tcPr>
            <w:tcW w:w="2469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Yenny Yoana López Castaño</w:t>
            </w:r>
          </w:p>
        </w:tc>
        <w:tc>
          <w:tcPr>
            <w:tcW w:w="3331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Secretaria</w:t>
            </w:r>
          </w:p>
        </w:tc>
        <w:tc>
          <w:tcPr>
            <w:tcW w:w="193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</w:p>
        </w:tc>
      </w:tr>
      <w:tr w:rsidR="00DD7ACA" w:rsidRPr="00FD406F" w:rsidTr="0087584B">
        <w:trPr>
          <w:jc w:val="center"/>
        </w:trPr>
        <w:tc>
          <w:tcPr>
            <w:tcW w:w="107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Revisó</w:t>
            </w:r>
          </w:p>
        </w:tc>
        <w:tc>
          <w:tcPr>
            <w:tcW w:w="2469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331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930" w:type="dxa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</w:p>
        </w:tc>
      </w:tr>
      <w:tr w:rsidR="00DD7ACA" w:rsidRPr="00FD406F" w:rsidTr="0087584B">
        <w:trPr>
          <w:jc w:val="center"/>
        </w:trPr>
        <w:tc>
          <w:tcPr>
            <w:tcW w:w="8800" w:type="dxa"/>
            <w:gridSpan w:val="4"/>
          </w:tcPr>
          <w:p w:rsidR="00DD7ACA" w:rsidRPr="00FD406F" w:rsidRDefault="00DD7ACA" w:rsidP="00DD7ACA">
            <w:pPr>
              <w:rPr>
                <w:rFonts w:cs="Times New Roman"/>
                <w:sz w:val="14"/>
                <w:szCs w:val="14"/>
              </w:rPr>
            </w:pPr>
            <w:r w:rsidRPr="00FD406F">
              <w:rPr>
                <w:rFonts w:cs="Times New Roman"/>
                <w:sz w:val="14"/>
                <w:szCs w:val="14"/>
              </w:rPr>
              <w:t>Declaramos los arriba firmantes, que hemos revisado el presente documento y lo encontramos ajustado a las normas y disposiciones legales y por lo tanto, lo presentamos para firma.</w:t>
            </w:r>
          </w:p>
        </w:tc>
      </w:tr>
      <w:bookmarkEnd w:id="0"/>
      <w:bookmarkEnd w:id="1"/>
    </w:tbl>
    <w:p w:rsidR="00984EE8" w:rsidRPr="00984EE8" w:rsidRDefault="00984EE8" w:rsidP="00280577">
      <w:pPr>
        <w:tabs>
          <w:tab w:val="center" w:pos="1493"/>
        </w:tabs>
      </w:pPr>
    </w:p>
    <w:sectPr w:rsidR="00984EE8" w:rsidRPr="00984EE8" w:rsidSect="00505C66">
      <w:headerReference w:type="default" r:id="rId11"/>
      <w:footerReference w:type="default" r:id="rId12"/>
      <w:pgSz w:w="12240" w:h="15840"/>
      <w:pgMar w:top="1559" w:right="1701" w:bottom="1758" w:left="1701" w:header="567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21D" w:rsidRDefault="00B5321D" w:rsidP="00505C66">
      <w:pPr>
        <w:spacing w:line="240" w:lineRule="auto"/>
      </w:pPr>
      <w:r>
        <w:separator/>
      </w:r>
    </w:p>
  </w:endnote>
  <w:endnote w:type="continuationSeparator" w:id="0">
    <w:p w:rsidR="00B5321D" w:rsidRDefault="00B5321D" w:rsidP="00505C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5C66" w:rsidRPr="00DB4F9E" w:rsidRDefault="00DD329C" w:rsidP="00DB4F9E">
    <w:pPr>
      <w:pStyle w:val="Piedepgina"/>
    </w:pPr>
    <w:r>
      <w:rPr>
        <w:noProof/>
        <w:sz w:val="22"/>
        <w:szCs w:val="22"/>
        <w:lang w:val="es-419" w:eastAsia="es-419"/>
      </w:rPr>
      <w:drawing>
        <wp:anchor distT="0" distB="0" distL="114300" distR="114300" simplePos="0" relativeHeight="251659264" behindDoc="0" locked="0" layoutInCell="1" allowOverlap="1" wp14:anchorId="7CA6BDCE" wp14:editId="23CC77B5">
          <wp:simplePos x="0" y="0"/>
          <wp:positionH relativeFrom="margin">
            <wp:align>center</wp:align>
          </wp:positionH>
          <wp:positionV relativeFrom="paragraph">
            <wp:posOffset>-467189</wp:posOffset>
          </wp:positionV>
          <wp:extent cx="7042244" cy="818189"/>
          <wp:effectExtent l="0" t="0" r="6350" b="127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2244" cy="8181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21D" w:rsidRDefault="00B5321D" w:rsidP="00505C66">
      <w:pPr>
        <w:spacing w:line="240" w:lineRule="auto"/>
      </w:pPr>
      <w:r>
        <w:separator/>
      </w:r>
    </w:p>
  </w:footnote>
  <w:footnote w:type="continuationSeparator" w:id="0">
    <w:p w:rsidR="00B5321D" w:rsidRDefault="00B5321D" w:rsidP="00505C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6C1E" w:rsidRDefault="004C6C1E" w:rsidP="004C6C1E">
    <w:pPr>
      <w:pStyle w:val="Encabezamiento"/>
      <w:jc w:val="center"/>
      <w:rPr>
        <w:rFonts w:ascii="Arial" w:eastAsia="Arial" w:hAnsi="Arial" w:cs="Arial"/>
        <w:b/>
        <w:bCs/>
        <w:sz w:val="18"/>
        <w:szCs w:val="18"/>
        <w:lang w:eastAsia="es-ES" w:bidi="es-ES"/>
      </w:rPr>
    </w:pPr>
    <w:r>
      <w:rPr>
        <w:noProof/>
        <w:lang w:val="es-419" w:eastAsia="es-419"/>
      </w:rPr>
      <w:drawing>
        <wp:inline distT="0" distB="0" distL="0" distR="0">
          <wp:extent cx="4762500" cy="767080"/>
          <wp:effectExtent l="0" t="0" r="0" b="0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977" t="29686" r="14101"/>
                  <a:stretch/>
                </pic:blipFill>
                <pic:spPr bwMode="auto">
                  <a:xfrm>
                    <a:off x="0" y="0"/>
                    <a:ext cx="4762500" cy="7670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C6C1E" w:rsidRDefault="004C6C1E" w:rsidP="004C6C1E">
    <w:pPr>
      <w:pStyle w:val="Encabezamiento"/>
      <w:jc w:val="right"/>
      <w:rPr>
        <w:rFonts w:ascii="Arial" w:eastAsia="Arial" w:hAnsi="Arial" w:cs="Arial"/>
        <w:b/>
        <w:bCs/>
        <w:sz w:val="18"/>
        <w:szCs w:val="18"/>
        <w:lang w:eastAsia="es-ES" w:bidi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47DE6"/>
    <w:multiLevelType w:val="hybridMultilevel"/>
    <w:tmpl w:val="9738DC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B5553"/>
    <w:multiLevelType w:val="hybridMultilevel"/>
    <w:tmpl w:val="4B601A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D20BA0"/>
    <w:multiLevelType w:val="hybridMultilevel"/>
    <w:tmpl w:val="48D205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D4BAF"/>
    <w:multiLevelType w:val="hybridMultilevel"/>
    <w:tmpl w:val="392A55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8E2BF3"/>
    <w:multiLevelType w:val="hybridMultilevel"/>
    <w:tmpl w:val="7DC807D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66"/>
    <w:rsid w:val="00010C1C"/>
    <w:rsid w:val="00022CF8"/>
    <w:rsid w:val="00052E5A"/>
    <w:rsid w:val="00056CD9"/>
    <w:rsid w:val="00066B2E"/>
    <w:rsid w:val="00074979"/>
    <w:rsid w:val="00096C50"/>
    <w:rsid w:val="000972EF"/>
    <w:rsid w:val="000D3720"/>
    <w:rsid w:val="00107A38"/>
    <w:rsid w:val="001365B3"/>
    <w:rsid w:val="00136EEB"/>
    <w:rsid w:val="0014168A"/>
    <w:rsid w:val="001422B1"/>
    <w:rsid w:val="0014656E"/>
    <w:rsid w:val="001514C0"/>
    <w:rsid w:val="00160AB4"/>
    <w:rsid w:val="00166979"/>
    <w:rsid w:val="001708B1"/>
    <w:rsid w:val="00182E7C"/>
    <w:rsid w:val="001A31C2"/>
    <w:rsid w:val="001C4FCB"/>
    <w:rsid w:val="001D3D7D"/>
    <w:rsid w:val="001D7376"/>
    <w:rsid w:val="001E44BB"/>
    <w:rsid w:val="00202FF2"/>
    <w:rsid w:val="002066AB"/>
    <w:rsid w:val="00215AD5"/>
    <w:rsid w:val="00226027"/>
    <w:rsid w:val="00226B70"/>
    <w:rsid w:val="002370BB"/>
    <w:rsid w:val="00246BB7"/>
    <w:rsid w:val="00262E08"/>
    <w:rsid w:val="00280577"/>
    <w:rsid w:val="002844B3"/>
    <w:rsid w:val="002A403A"/>
    <w:rsid w:val="002A4ACA"/>
    <w:rsid w:val="002C3BBF"/>
    <w:rsid w:val="002F4ADF"/>
    <w:rsid w:val="003843F1"/>
    <w:rsid w:val="003A06A4"/>
    <w:rsid w:val="003A58D9"/>
    <w:rsid w:val="003C06D9"/>
    <w:rsid w:val="003C0D66"/>
    <w:rsid w:val="003C1DA9"/>
    <w:rsid w:val="003C1FB8"/>
    <w:rsid w:val="003C6C67"/>
    <w:rsid w:val="003E642A"/>
    <w:rsid w:val="003F522C"/>
    <w:rsid w:val="003F6AEE"/>
    <w:rsid w:val="00404082"/>
    <w:rsid w:val="00405A14"/>
    <w:rsid w:val="00437877"/>
    <w:rsid w:val="00441E2C"/>
    <w:rsid w:val="00444DB3"/>
    <w:rsid w:val="00454C12"/>
    <w:rsid w:val="00473592"/>
    <w:rsid w:val="004C611C"/>
    <w:rsid w:val="004C6C1E"/>
    <w:rsid w:val="004E699B"/>
    <w:rsid w:val="004F04C0"/>
    <w:rsid w:val="00505C66"/>
    <w:rsid w:val="00512971"/>
    <w:rsid w:val="005500D5"/>
    <w:rsid w:val="00555AFB"/>
    <w:rsid w:val="005616B4"/>
    <w:rsid w:val="00572D5E"/>
    <w:rsid w:val="00582717"/>
    <w:rsid w:val="005B010D"/>
    <w:rsid w:val="005C0AFB"/>
    <w:rsid w:val="005C6466"/>
    <w:rsid w:val="005E2352"/>
    <w:rsid w:val="005E4DF5"/>
    <w:rsid w:val="005F5E6E"/>
    <w:rsid w:val="0060198A"/>
    <w:rsid w:val="00663BC8"/>
    <w:rsid w:val="006761DC"/>
    <w:rsid w:val="006858F7"/>
    <w:rsid w:val="00685C77"/>
    <w:rsid w:val="006E0ECB"/>
    <w:rsid w:val="006E5669"/>
    <w:rsid w:val="006E5B51"/>
    <w:rsid w:val="00757A7C"/>
    <w:rsid w:val="00764CF6"/>
    <w:rsid w:val="00772E0B"/>
    <w:rsid w:val="007A3056"/>
    <w:rsid w:val="007A39E5"/>
    <w:rsid w:val="007C6211"/>
    <w:rsid w:val="007D7512"/>
    <w:rsid w:val="007E5EBA"/>
    <w:rsid w:val="008225DC"/>
    <w:rsid w:val="00832EBF"/>
    <w:rsid w:val="00880B0E"/>
    <w:rsid w:val="008833C1"/>
    <w:rsid w:val="00896C00"/>
    <w:rsid w:val="008A087D"/>
    <w:rsid w:val="008A42C4"/>
    <w:rsid w:val="008A4F12"/>
    <w:rsid w:val="008A7935"/>
    <w:rsid w:val="008D08B3"/>
    <w:rsid w:val="00901236"/>
    <w:rsid w:val="00902122"/>
    <w:rsid w:val="00903A8D"/>
    <w:rsid w:val="00913C4B"/>
    <w:rsid w:val="00921930"/>
    <w:rsid w:val="009555B0"/>
    <w:rsid w:val="0097243F"/>
    <w:rsid w:val="0098157B"/>
    <w:rsid w:val="00984EE8"/>
    <w:rsid w:val="009A312B"/>
    <w:rsid w:val="009C564A"/>
    <w:rsid w:val="009D7E2E"/>
    <w:rsid w:val="009F2DED"/>
    <w:rsid w:val="009F4579"/>
    <w:rsid w:val="00A2795A"/>
    <w:rsid w:val="00A470EA"/>
    <w:rsid w:val="00A732F5"/>
    <w:rsid w:val="00A90BA0"/>
    <w:rsid w:val="00A96720"/>
    <w:rsid w:val="00AA522E"/>
    <w:rsid w:val="00AB3868"/>
    <w:rsid w:val="00AD6E2B"/>
    <w:rsid w:val="00AD7C3A"/>
    <w:rsid w:val="00AE0E41"/>
    <w:rsid w:val="00AE151A"/>
    <w:rsid w:val="00AE242C"/>
    <w:rsid w:val="00AF3923"/>
    <w:rsid w:val="00B1065F"/>
    <w:rsid w:val="00B17262"/>
    <w:rsid w:val="00B35953"/>
    <w:rsid w:val="00B466DD"/>
    <w:rsid w:val="00B5321D"/>
    <w:rsid w:val="00B629C8"/>
    <w:rsid w:val="00B759AB"/>
    <w:rsid w:val="00B80BE7"/>
    <w:rsid w:val="00B80EBA"/>
    <w:rsid w:val="00B91679"/>
    <w:rsid w:val="00BB1E2E"/>
    <w:rsid w:val="00BC1144"/>
    <w:rsid w:val="00BC56F6"/>
    <w:rsid w:val="00BC5EA8"/>
    <w:rsid w:val="00BD128C"/>
    <w:rsid w:val="00BF0F16"/>
    <w:rsid w:val="00BF2801"/>
    <w:rsid w:val="00BF2A54"/>
    <w:rsid w:val="00C31F41"/>
    <w:rsid w:val="00C32873"/>
    <w:rsid w:val="00C4755B"/>
    <w:rsid w:val="00C555A6"/>
    <w:rsid w:val="00C86FB2"/>
    <w:rsid w:val="00C91C11"/>
    <w:rsid w:val="00CB351B"/>
    <w:rsid w:val="00D06AE0"/>
    <w:rsid w:val="00D4380E"/>
    <w:rsid w:val="00D55092"/>
    <w:rsid w:val="00DA527E"/>
    <w:rsid w:val="00DB162E"/>
    <w:rsid w:val="00DB4F9E"/>
    <w:rsid w:val="00DD329C"/>
    <w:rsid w:val="00DD7ACA"/>
    <w:rsid w:val="00DE5634"/>
    <w:rsid w:val="00DF0183"/>
    <w:rsid w:val="00E01949"/>
    <w:rsid w:val="00E65942"/>
    <w:rsid w:val="00E6625D"/>
    <w:rsid w:val="00E86089"/>
    <w:rsid w:val="00E94A9E"/>
    <w:rsid w:val="00EA7641"/>
    <w:rsid w:val="00EB20DA"/>
    <w:rsid w:val="00EC5880"/>
    <w:rsid w:val="00ED2D7A"/>
    <w:rsid w:val="00EF40D8"/>
    <w:rsid w:val="00EF5FC8"/>
    <w:rsid w:val="00F0234D"/>
    <w:rsid w:val="00F12A88"/>
    <w:rsid w:val="00F17FA5"/>
    <w:rsid w:val="00F32A2D"/>
    <w:rsid w:val="00F54D70"/>
    <w:rsid w:val="00F61363"/>
    <w:rsid w:val="00F6409F"/>
    <w:rsid w:val="00F7023A"/>
    <w:rsid w:val="00FD3D37"/>
    <w:rsid w:val="00FD6A6C"/>
    <w:rsid w:val="00FD7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21F96F1"/>
  <w15:docId w15:val="{FB80B93F-0275-40A0-A3E8-C4344B2E2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szCs w:val="24"/>
        <w:lang w:val="es-CO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C66"/>
    <w:pPr>
      <w:widowControl w:val="0"/>
      <w:suppressAutoHyphens/>
      <w:spacing w:line="100" w:lineRule="atLeast"/>
    </w:pPr>
    <w:rPr>
      <w:rFonts w:ascii="Times New Roman" w:eastAsia="Arial Unicode MS" w:hAnsi="Times New Roman" w:cs="Tahoma"/>
      <w:color w:val="00000A"/>
      <w:sz w:val="24"/>
      <w:lang w:val="es-ES" w:eastAsia="es-CO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tulo11">
    <w:name w:val="Título 11"/>
    <w:basedOn w:val="Heading"/>
    <w:qFormat/>
    <w:rsid w:val="00505C66"/>
    <w:pPr>
      <w:outlineLvl w:val="0"/>
    </w:pPr>
  </w:style>
  <w:style w:type="paragraph" w:customStyle="1" w:styleId="Ttulo21">
    <w:name w:val="Título 21"/>
    <w:basedOn w:val="Heading"/>
    <w:qFormat/>
    <w:rsid w:val="00505C66"/>
    <w:pPr>
      <w:outlineLvl w:val="1"/>
    </w:pPr>
  </w:style>
  <w:style w:type="paragraph" w:customStyle="1" w:styleId="Ttulo31">
    <w:name w:val="Título 31"/>
    <w:basedOn w:val="Heading"/>
    <w:qFormat/>
    <w:rsid w:val="00505C66"/>
    <w:pPr>
      <w:outlineLvl w:val="2"/>
    </w:pPr>
  </w:style>
  <w:style w:type="character" w:customStyle="1" w:styleId="EncabezadoCar">
    <w:name w:val="Encabezado Car"/>
    <w:basedOn w:val="Fuentedeprrafopredeter"/>
    <w:qFormat/>
    <w:rsid w:val="00505C66"/>
  </w:style>
  <w:style w:type="character" w:customStyle="1" w:styleId="PiedepginaCar">
    <w:name w:val="Pie de página Car"/>
    <w:basedOn w:val="Fuentedeprrafopredeter"/>
    <w:qFormat/>
    <w:rsid w:val="00505C66"/>
  </w:style>
  <w:style w:type="character" w:customStyle="1" w:styleId="TextodegloboCar">
    <w:name w:val="Texto de globo Car"/>
    <w:basedOn w:val="Fuentedeprrafopredeter"/>
    <w:qFormat/>
    <w:rsid w:val="00505C66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Fuentedeprrafopredeter"/>
    <w:uiPriority w:val="99"/>
    <w:semiHidden/>
    <w:unhideWhenUsed/>
    <w:rsid w:val="00C340D2"/>
    <w:rPr>
      <w:color w:val="0000FF"/>
      <w:u w:val="single"/>
    </w:rPr>
  </w:style>
  <w:style w:type="character" w:customStyle="1" w:styleId="il">
    <w:name w:val="il"/>
    <w:qFormat/>
    <w:rsid w:val="00505C66"/>
  </w:style>
  <w:style w:type="character" w:customStyle="1" w:styleId="apple-converted-space">
    <w:name w:val="apple-converted-space"/>
    <w:qFormat/>
    <w:rsid w:val="00505C66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sid w:val="00505C66"/>
    <w:rPr>
      <w:rFonts w:ascii="Times New Roman" w:eastAsia="Arial Unicode MS" w:hAnsi="Times New Roman" w:cs="Tahoma"/>
      <w:color w:val="00000A"/>
      <w:szCs w:val="20"/>
      <w:lang w:val="es-ES" w:eastAsia="es-CO" w:bidi="ar-SA"/>
    </w:rPr>
  </w:style>
  <w:style w:type="character" w:styleId="Refdecomentario">
    <w:name w:val="annotation reference"/>
    <w:basedOn w:val="Fuentedeprrafopredeter"/>
    <w:uiPriority w:val="99"/>
    <w:semiHidden/>
    <w:unhideWhenUsed/>
    <w:qFormat/>
    <w:rsid w:val="00505C66"/>
    <w:rPr>
      <w:sz w:val="16"/>
      <w:szCs w:val="16"/>
    </w:rPr>
  </w:style>
  <w:style w:type="paragraph" w:customStyle="1" w:styleId="Heading">
    <w:name w:val="Heading"/>
    <w:basedOn w:val="Normal"/>
    <w:next w:val="Textoindependiente"/>
    <w:qFormat/>
    <w:rsid w:val="00505C66"/>
    <w:pPr>
      <w:keepNext/>
      <w:spacing w:before="240" w:after="120"/>
    </w:pPr>
    <w:rPr>
      <w:rFonts w:ascii="Liberation Sans" w:hAnsi="Liberation Sans" w:cs="Arial Unicode MS"/>
      <w:sz w:val="28"/>
      <w:szCs w:val="28"/>
    </w:rPr>
  </w:style>
  <w:style w:type="paragraph" w:styleId="Textoindependiente">
    <w:name w:val="Body Text"/>
    <w:basedOn w:val="Normal"/>
    <w:qFormat/>
    <w:rsid w:val="00505C66"/>
    <w:pPr>
      <w:spacing w:after="120"/>
    </w:pPr>
  </w:style>
  <w:style w:type="paragraph" w:styleId="Lista">
    <w:name w:val="List"/>
    <w:basedOn w:val="Textoindependiente"/>
    <w:qFormat/>
    <w:rsid w:val="00505C66"/>
  </w:style>
  <w:style w:type="paragraph" w:customStyle="1" w:styleId="Descripcin1">
    <w:name w:val="Descripción1"/>
    <w:basedOn w:val="Normal"/>
    <w:qFormat/>
    <w:rsid w:val="00505C6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505C66"/>
    <w:pPr>
      <w:suppressLineNumbers/>
    </w:pPr>
  </w:style>
  <w:style w:type="paragraph" w:styleId="Descripcin">
    <w:name w:val="caption"/>
    <w:basedOn w:val="Normal"/>
    <w:qFormat/>
    <w:rsid w:val="00505C66"/>
    <w:pPr>
      <w:suppressLineNumbers/>
      <w:spacing w:before="120" w:after="120"/>
    </w:pPr>
    <w:rPr>
      <w:i/>
      <w:iCs/>
    </w:rPr>
  </w:style>
  <w:style w:type="paragraph" w:customStyle="1" w:styleId="Encabezado1">
    <w:name w:val="Encabezado1"/>
    <w:basedOn w:val="Normal"/>
    <w:rsid w:val="00505C66"/>
  </w:style>
  <w:style w:type="paragraph" w:customStyle="1" w:styleId="Cuerpodetexto">
    <w:name w:val="Cuerpo de texto"/>
    <w:basedOn w:val="Normal"/>
    <w:qFormat/>
    <w:rsid w:val="00505C66"/>
    <w:pPr>
      <w:spacing w:after="140" w:line="288" w:lineRule="auto"/>
    </w:pPr>
  </w:style>
  <w:style w:type="paragraph" w:customStyle="1" w:styleId="Pie">
    <w:name w:val="Pie"/>
    <w:basedOn w:val="Normal"/>
    <w:qFormat/>
    <w:rsid w:val="00505C6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rsid w:val="00505C66"/>
    <w:pPr>
      <w:suppressLineNumbers/>
    </w:pPr>
    <w:rPr>
      <w:rFonts w:cs="Mangal"/>
    </w:rPr>
  </w:style>
  <w:style w:type="paragraph" w:customStyle="1" w:styleId="Encabezamiento">
    <w:name w:val="Encabezamiento"/>
    <w:basedOn w:val="Normal"/>
    <w:qFormat/>
    <w:rsid w:val="00505C66"/>
    <w:pPr>
      <w:tabs>
        <w:tab w:val="center" w:pos="4252"/>
        <w:tab w:val="right" w:pos="8504"/>
      </w:tabs>
    </w:pPr>
  </w:style>
  <w:style w:type="paragraph" w:customStyle="1" w:styleId="Piedepgina1">
    <w:name w:val="Pie de página1"/>
    <w:basedOn w:val="Normal"/>
    <w:rsid w:val="00505C66"/>
  </w:style>
  <w:style w:type="paragraph" w:styleId="Textodeglobo">
    <w:name w:val="Balloon Text"/>
    <w:basedOn w:val="Normal"/>
    <w:qFormat/>
    <w:rsid w:val="00505C66"/>
    <w:rPr>
      <w:rFonts w:ascii="Tahoma" w:hAnsi="Tahoma"/>
      <w:sz w:val="16"/>
      <w:szCs w:val="16"/>
    </w:rPr>
  </w:style>
  <w:style w:type="paragraph" w:styleId="Sinespaciado">
    <w:name w:val="No Spacing"/>
    <w:qFormat/>
    <w:rsid w:val="00505C66"/>
    <w:rPr>
      <w:rFonts w:ascii="Calibri" w:eastAsia="Calibri" w:hAnsi="Calibri" w:cs="Times New Roman"/>
      <w:color w:val="00000A"/>
      <w:sz w:val="22"/>
      <w:szCs w:val="22"/>
      <w:lang w:bidi="ar-SA"/>
    </w:rPr>
  </w:style>
  <w:style w:type="paragraph" w:customStyle="1" w:styleId="Quotations">
    <w:name w:val="Quotations"/>
    <w:basedOn w:val="Normal"/>
    <w:qFormat/>
    <w:rsid w:val="00505C66"/>
  </w:style>
  <w:style w:type="paragraph" w:styleId="Ttulo">
    <w:name w:val="Title"/>
    <w:basedOn w:val="Heading"/>
    <w:qFormat/>
    <w:rsid w:val="00505C66"/>
  </w:style>
  <w:style w:type="paragraph" w:styleId="Subttulo">
    <w:name w:val="Subtitle"/>
    <w:basedOn w:val="Heading"/>
    <w:qFormat/>
    <w:rsid w:val="00505C66"/>
  </w:style>
  <w:style w:type="paragraph" w:styleId="Prrafodelista">
    <w:name w:val="List Paragraph"/>
    <w:basedOn w:val="Normal"/>
    <w:qFormat/>
    <w:rsid w:val="00505C66"/>
    <w:pPr>
      <w:spacing w:after="200"/>
      <w:ind w:left="720"/>
      <w:contextualSpacing/>
    </w:pPr>
  </w:style>
  <w:style w:type="paragraph" w:styleId="Textocomentario">
    <w:name w:val="annotation text"/>
    <w:basedOn w:val="Normal"/>
    <w:link w:val="TextocomentarioCar"/>
    <w:uiPriority w:val="99"/>
    <w:semiHidden/>
    <w:unhideWhenUsed/>
    <w:qFormat/>
    <w:rsid w:val="00505C66"/>
    <w:pPr>
      <w:spacing w:line="240" w:lineRule="auto"/>
    </w:pPr>
    <w:rPr>
      <w:sz w:val="20"/>
      <w:szCs w:val="20"/>
    </w:rPr>
  </w:style>
  <w:style w:type="paragraph" w:styleId="Encabezado">
    <w:name w:val="header"/>
    <w:basedOn w:val="Normal"/>
    <w:link w:val="EncabezadoCar1"/>
    <w:uiPriority w:val="99"/>
    <w:unhideWhenUsed/>
    <w:rsid w:val="00BC56F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1">
    <w:name w:val="Encabezado Car1"/>
    <w:basedOn w:val="Fuentedeprrafopredeter"/>
    <w:link w:val="Encabezado"/>
    <w:uiPriority w:val="99"/>
    <w:rsid w:val="00BC56F6"/>
    <w:rPr>
      <w:rFonts w:ascii="Times New Roman" w:eastAsia="Arial Unicode MS" w:hAnsi="Times New Roman" w:cs="Tahoma"/>
      <w:color w:val="00000A"/>
      <w:sz w:val="24"/>
      <w:lang w:val="es-ES" w:eastAsia="es-CO" w:bidi="ar-SA"/>
    </w:rPr>
  </w:style>
  <w:style w:type="paragraph" w:styleId="Piedepgina">
    <w:name w:val="footer"/>
    <w:basedOn w:val="Normal"/>
    <w:link w:val="PiedepginaCar1"/>
    <w:uiPriority w:val="99"/>
    <w:unhideWhenUsed/>
    <w:rsid w:val="00BC56F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1">
    <w:name w:val="Pie de página Car1"/>
    <w:basedOn w:val="Fuentedeprrafopredeter"/>
    <w:link w:val="Piedepgina"/>
    <w:uiPriority w:val="99"/>
    <w:rsid w:val="00BC56F6"/>
    <w:rPr>
      <w:rFonts w:ascii="Times New Roman" w:eastAsia="Arial Unicode MS" w:hAnsi="Times New Roman" w:cs="Tahoma"/>
      <w:color w:val="00000A"/>
      <w:sz w:val="24"/>
      <w:lang w:val="es-ES" w:eastAsia="es-CO" w:bidi="ar-SA"/>
    </w:rPr>
  </w:style>
  <w:style w:type="table" w:styleId="Tablaconcuadrcula">
    <w:name w:val="Table Grid"/>
    <w:basedOn w:val="Tablanormal"/>
    <w:uiPriority w:val="39"/>
    <w:rsid w:val="00CB3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C611C"/>
    <w:rPr>
      <w:color w:val="0000FF"/>
      <w:u w:val="single"/>
    </w:rPr>
  </w:style>
  <w:style w:type="paragraph" w:customStyle="1" w:styleId="Sinespaciado1">
    <w:name w:val="Sin espaciado1"/>
    <w:uiPriority w:val="99"/>
    <w:semiHidden/>
    <w:qFormat/>
    <w:rsid w:val="00AE0E41"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styleId="NormalWeb">
    <w:name w:val="Normal (Web)"/>
    <w:aliases w:val=" Car,Normal (Web) Car Car,Car Car Car Car Car Car Car Car Car Car,Car Car Car Car Car Car Car Car Car Car Car Car Car,Car2"/>
    <w:basedOn w:val="Normal"/>
    <w:link w:val="NormalWebCar"/>
    <w:uiPriority w:val="99"/>
    <w:unhideWhenUsed/>
    <w:qFormat/>
    <w:rsid w:val="00226B70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lang w:eastAsia="es-ES"/>
    </w:rPr>
  </w:style>
  <w:style w:type="paragraph" w:customStyle="1" w:styleId="Default">
    <w:name w:val="Default"/>
    <w:link w:val="DefaultCar"/>
    <w:qFormat/>
    <w:rsid w:val="00226B70"/>
    <w:pPr>
      <w:autoSpaceDE w:val="0"/>
      <w:autoSpaceDN w:val="0"/>
      <w:adjustRightInd w:val="0"/>
    </w:pPr>
    <w:rPr>
      <w:rFonts w:ascii="Verdana" w:hAnsi="Verdana" w:cs="Verdana"/>
      <w:color w:val="000000"/>
      <w:sz w:val="24"/>
      <w:lang w:bidi="ar-SA"/>
    </w:rPr>
  </w:style>
  <w:style w:type="character" w:customStyle="1" w:styleId="DefaultCar">
    <w:name w:val="Default Car"/>
    <w:link w:val="Default"/>
    <w:locked/>
    <w:rsid w:val="00226B70"/>
    <w:rPr>
      <w:rFonts w:ascii="Verdana" w:hAnsi="Verdana" w:cs="Verdana"/>
      <w:color w:val="000000"/>
      <w:sz w:val="24"/>
      <w:lang w:bidi="ar-SA"/>
    </w:rPr>
  </w:style>
  <w:style w:type="character" w:customStyle="1" w:styleId="NormalWebCar">
    <w:name w:val="Normal (Web) Car"/>
    <w:aliases w:val=" Car Car,Normal (Web) Car Car Car,Car Car Car Car Car Car Car Car Car Car Car,Car Car Car Car Car Car Car Car Car Car Car Car Car Car,Car2 Car"/>
    <w:link w:val="NormalWeb"/>
    <w:uiPriority w:val="99"/>
    <w:locked/>
    <w:rsid w:val="00226B70"/>
    <w:rPr>
      <w:rFonts w:ascii="Times New Roman" w:eastAsia="Times New Roman" w:hAnsi="Times New Roman" w:cs="Times New Roman"/>
      <w:sz w:val="24"/>
      <w:lang w:val="es-ES" w:eastAsia="es-E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4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es-CO" sz="1000" b="1">
                <a:latin typeface="Times New Roman" panose="02020603050405020304" pitchFamily="18" charset="0"/>
                <a:cs typeface="Times New Roman" panose="02020603050405020304" pitchFamily="18" charset="0"/>
              </a:rPr>
              <a:t>COMPARATIVO</a:t>
            </a:r>
            <a:r>
              <a:rPr lang="es-CO" sz="10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PORCENTAJE OCUPACIONAL 2023- 2024-2025</a:t>
            </a:r>
            <a:endParaRPr lang="es-CO" sz="10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s-419"/>
        </a:p>
      </c:txPr>
    </c:title>
    <c:autoTitleDeleted val="0"/>
    <c:plotArea>
      <c:layout>
        <c:manualLayout>
          <c:layoutTarget val="inner"/>
          <c:xMode val="edge"/>
          <c:yMode val="edge"/>
          <c:x val="0.10112444710161836"/>
          <c:y val="0.19167958656330752"/>
          <c:w val="0.8785193211322645"/>
          <c:h val="0.46325377932409612"/>
        </c:manualLayout>
      </c:layout>
      <c:lineChart>
        <c:grouping val="standard"/>
        <c:varyColors val="0"/>
        <c:ser>
          <c:idx val="0"/>
          <c:order val="0"/>
          <c:tx>
            <c:v>2023</c:v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'INF. GESTIÓN Y EMPALME'!$C$45:$N$45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SEPT</c:v>
                </c:pt>
                <c:pt idx="9">
                  <c:v>OCT</c:v>
                </c:pt>
                <c:pt idx="10">
                  <c:v>NOV</c:v>
                </c:pt>
                <c:pt idx="11">
                  <c:v>DIC</c:v>
                </c:pt>
              </c:strCache>
            </c:strRef>
          </c:cat>
          <c:val>
            <c:numRef>
              <c:f>'INF. GESTIÓN Y EMPALME'!$C$46:$N$46</c:f>
              <c:numCache>
                <c:formatCode>0%</c:formatCode>
                <c:ptCount val="12"/>
                <c:pt idx="0">
                  <c:v>0.76300000000000001</c:v>
                </c:pt>
                <c:pt idx="1">
                  <c:v>0.97699999999999998</c:v>
                </c:pt>
                <c:pt idx="2">
                  <c:v>0.91</c:v>
                </c:pt>
                <c:pt idx="3">
                  <c:v>0.97</c:v>
                </c:pt>
                <c:pt idx="4">
                  <c:v>1.1419999999999999</c:v>
                </c:pt>
                <c:pt idx="5">
                  <c:v>1.012</c:v>
                </c:pt>
                <c:pt idx="6">
                  <c:v>0.94599999999999995</c:v>
                </c:pt>
                <c:pt idx="7">
                  <c:v>0.82899999999999996</c:v>
                </c:pt>
                <c:pt idx="8">
                  <c:v>0.83399999999999996</c:v>
                </c:pt>
                <c:pt idx="9">
                  <c:v>0.93300000000000005</c:v>
                </c:pt>
                <c:pt idx="10">
                  <c:v>0.92700000000000005</c:v>
                </c:pt>
                <c:pt idx="11">
                  <c:v>0.94114270575768277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8E98-431C-9568-269B04692916}"/>
            </c:ext>
          </c:extLst>
        </c:ser>
        <c:ser>
          <c:idx val="1"/>
          <c:order val="1"/>
          <c:tx>
            <c:v>2024</c:v>
          </c:tx>
          <c:spPr>
            <a:ln w="28575" cap="rnd">
              <a:solidFill>
                <a:srgbClr val="33CCCC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33CCCC"/>
              </a:solidFill>
              <a:ln w="9525">
                <a:solidFill>
                  <a:srgbClr val="33CCCC"/>
                </a:solidFill>
              </a:ln>
              <a:effectLst/>
            </c:spPr>
          </c:marker>
          <c:cat>
            <c:strRef>
              <c:f>'INF. GESTIÓN Y EMPALME'!$C$45:$N$45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SEPT</c:v>
                </c:pt>
                <c:pt idx="9">
                  <c:v>OCT</c:v>
                </c:pt>
                <c:pt idx="10">
                  <c:v>NOV</c:v>
                </c:pt>
                <c:pt idx="11">
                  <c:v>DIC</c:v>
                </c:pt>
              </c:strCache>
            </c:strRef>
          </c:cat>
          <c:val>
            <c:numRef>
              <c:f>'INF. GESTIÓN Y EMPALME'!$C$47:$N$47</c:f>
              <c:numCache>
                <c:formatCode>0%</c:formatCode>
                <c:ptCount val="12"/>
                <c:pt idx="0">
                  <c:v>0.96599999999999997</c:v>
                </c:pt>
                <c:pt idx="1">
                  <c:v>0.98399999999999999</c:v>
                </c:pt>
                <c:pt idx="2">
                  <c:v>0.95899999999999996</c:v>
                </c:pt>
                <c:pt idx="3">
                  <c:v>1.0269999999999999</c:v>
                </c:pt>
                <c:pt idx="4">
                  <c:v>1.103</c:v>
                </c:pt>
                <c:pt idx="5">
                  <c:v>1.091</c:v>
                </c:pt>
                <c:pt idx="6">
                  <c:v>1.0720000000000001</c:v>
                </c:pt>
                <c:pt idx="7">
                  <c:v>1.002</c:v>
                </c:pt>
                <c:pt idx="8">
                  <c:v>1.0364</c:v>
                </c:pt>
                <c:pt idx="9">
                  <c:v>1.042</c:v>
                </c:pt>
                <c:pt idx="10">
                  <c:v>1.0466</c:v>
                </c:pt>
                <c:pt idx="11">
                  <c:v>1.0329614132961413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E98-431C-9568-269B04692916}"/>
            </c:ext>
          </c:extLst>
        </c:ser>
        <c:ser>
          <c:idx val="2"/>
          <c:order val="2"/>
          <c:tx>
            <c:v>2025</c:v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'INF. GESTIÓN Y EMPALME'!$C$45:$N$45</c:f>
              <c:strCache>
                <c:ptCount val="12"/>
                <c:pt idx="0">
                  <c:v>ENE</c:v>
                </c:pt>
                <c:pt idx="1">
                  <c:v>FEB</c:v>
                </c:pt>
                <c:pt idx="2">
                  <c:v>MAR</c:v>
                </c:pt>
                <c:pt idx="3">
                  <c:v>ABR</c:v>
                </c:pt>
                <c:pt idx="4">
                  <c:v>MAY</c:v>
                </c:pt>
                <c:pt idx="5">
                  <c:v>JUN</c:v>
                </c:pt>
                <c:pt idx="6">
                  <c:v>JUL</c:v>
                </c:pt>
                <c:pt idx="7">
                  <c:v>AGO</c:v>
                </c:pt>
                <c:pt idx="8">
                  <c:v>SEPT</c:v>
                </c:pt>
                <c:pt idx="9">
                  <c:v>OCT</c:v>
                </c:pt>
                <c:pt idx="10">
                  <c:v>NOV</c:v>
                </c:pt>
                <c:pt idx="11">
                  <c:v>DIC</c:v>
                </c:pt>
              </c:strCache>
            </c:strRef>
          </c:cat>
          <c:val>
            <c:numRef>
              <c:f>'INF. GESTIÓN Y EMPALME'!$C$48:$N$48</c:f>
              <c:numCache>
                <c:formatCode>0.0%</c:formatCode>
                <c:ptCount val="12"/>
                <c:pt idx="0">
                  <c:v>0.85699999999999998</c:v>
                </c:pt>
                <c:pt idx="1">
                  <c:v>0.875</c:v>
                </c:pt>
                <c:pt idx="2" formatCode="0.00%">
                  <c:v>0.89339999999999997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E98-431C-9568-269B046929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686496"/>
        <c:axId val="12679424"/>
      </c:lineChart>
      <c:catAx>
        <c:axId val="12686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12679424"/>
        <c:crosses val="autoZero"/>
        <c:auto val="1"/>
        <c:lblAlgn val="ctr"/>
        <c:lblOffset val="100"/>
        <c:noMultiLvlLbl val="0"/>
      </c:catAx>
      <c:valAx>
        <c:axId val="12679424"/>
        <c:scaling>
          <c:orientation val="minMax"/>
          <c:max val="1.2"/>
          <c:min val="0.70000000000000007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  <c:crossAx val="12686496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419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1587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es-419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7A050-1BDA-4E2F-818C-B895612F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1000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SISTEMAS</dc:creator>
  <cp:lastModifiedBy>SCL-COO-001 Coordinacion Santa Clara</cp:lastModifiedBy>
  <cp:revision>3</cp:revision>
  <cp:lastPrinted>2012-06-01T18:04:00Z</cp:lastPrinted>
  <dcterms:created xsi:type="dcterms:W3CDTF">2025-05-08T15:35:00Z</dcterms:created>
  <dcterms:modified xsi:type="dcterms:W3CDTF">2025-05-08T15:43:00Z</dcterms:modified>
  <dc:language>es-CO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